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1527"/>
        <w:gridCol w:w="1520"/>
        <w:gridCol w:w="3137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ky-KG"/>
              </w:rPr>
            </w:pPr>
            <w:r>
              <w:t xml:space="preserve"> ______________2024</w:t>
            </w:r>
            <w:r>
              <w:rPr>
                <w:lang w:val="ky-KG"/>
              </w:rPr>
              <w:t>-ж.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№________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>
            <w:r>
              <w:rPr>
                <w:lang w:val="ky-KG"/>
              </w:rPr>
              <w:t xml:space="preserve">№  </w:t>
            </w:r>
            <w:r>
              <w:rPr>
                <w:rFonts w:hint="default"/>
                <w:color w:val="auto"/>
                <w:lang w:val="ky-KG"/>
              </w:rPr>
              <w:t>12</w:t>
            </w:r>
            <w:r>
              <w:rPr>
                <w:color w:val="auto"/>
                <w:lang w:val="ky-KG"/>
              </w:rPr>
              <w:t xml:space="preserve"> </w:t>
            </w:r>
            <w:r>
              <w:rPr>
                <w:lang w:val="ky-KG"/>
              </w:rPr>
              <w:t>т</w:t>
            </w:r>
            <w:r>
              <w:t>иркеме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>
      <w:pPr>
        <w:jc w:val="center"/>
        <w:rPr>
          <w:rFonts w:hint="default"/>
          <w:b/>
          <w:bCs/>
          <w:lang w:val="ky-KG"/>
        </w:rPr>
      </w:pPr>
    </w:p>
    <w:p>
      <w:pPr>
        <w:jc w:val="center"/>
        <w:rPr>
          <w:rFonts w:hint="default"/>
          <w:b/>
          <w:bCs/>
          <w:lang w:val="ky-KG"/>
        </w:rPr>
      </w:pPr>
      <w:r>
        <w:rPr>
          <w:rFonts w:hint="default"/>
          <w:b/>
          <w:bCs/>
          <w:lang w:val="ky-KG"/>
        </w:rPr>
        <w:t>Радиоактивдүү калдыктарды, материалдарды, заттарды жана иондоштуруучу нурлануу булактарын ташуу (анын ичинде трансчегаралык), сактоо, пайдалануу укугуна  лицензияга</w:t>
      </w:r>
    </w:p>
    <w:p>
      <w:pPr>
        <w:pStyle w:val="4"/>
        <w:spacing w:after="0"/>
        <w:jc w:val="center"/>
        <w:rPr>
          <w:color w:val="auto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>
      <w:pPr>
        <w:jc w:val="center"/>
        <w:rPr>
          <w:rFonts w:hint="default"/>
          <w:b/>
          <w:bCs/>
          <w:lang w:val="ky-KG"/>
        </w:rPr>
      </w:pPr>
    </w:p>
    <w:tbl>
      <w:tblPr>
        <w:tblStyle w:val="3"/>
        <w:tblW w:w="93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077"/>
        <w:gridCol w:w="3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b w:val="0"/>
                <w:bCs w:val="0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 xml:space="preserve">айгашкан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местонахождения </w:t>
            </w:r>
            <w:r>
              <w:rPr>
                <w:b w:val="0"/>
                <w:bCs w:val="0"/>
                <w:sz w:val="20"/>
                <w:szCs w:val="20"/>
              </w:rPr>
              <w:t>(индекс, почтовый адрес)</w:t>
            </w:r>
            <w:r>
              <w:rPr>
                <w:b/>
                <w:bCs/>
              </w:rPr>
              <w:t>, телефоны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ky-KG"/>
              </w:rPr>
              <w:t>А</w:t>
            </w:r>
            <w:r>
              <w:rPr>
                <w:b w:val="0"/>
                <w:bCs w:val="0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ky-KG"/>
              </w:rPr>
              <w:t>/э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4402011000102181</w:t>
            </w:r>
          </w:p>
          <w:p>
            <w:pPr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Төлөм коду: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14222710</w:t>
            </w:r>
          </w:p>
          <w:p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лицензия берүү үчүн мамлекеттик алым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Иштин ушул түрүнө мамлекеттик экологиялык экспертизанын корутундусу (зарыл болсо)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Иштин бул түрүнүн экологиялык негиздемеси (зарыл болсо)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Объектти ведомстволук кайтарууну уюштуруу жөнүндө буйруктун көчүрмөсү же объектти ведомстводон тышкары кайтаруу жөнүндө келишимдин көчүрмөсү (ташуудан башка)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Мамлекеттик санитардык-эпидемиологиялык көзөмөл органдарынын, өрт инспекциясынын корутундусу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t>(ташуудан башка)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t>(зарыл болсо)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Ченөө каражаттарын жана сыноо жабдууларын текшерүүнү же метрологиялык аттестациялоону ырастоочу документтер (зарыл болсо)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Профилдик жогорку, техникалык же кесиптик билими жана тиешелүү иште практикалык тажрыйбасы бар кызматкерлер, анын ичинде инженердик-техникалык адистер жөнүндө маалымат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ырастоочу күбөлүк жана медициналык комиссиянын корутундусу менен ырасталган адистер менен эмгек макулдашуусу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Иш аткарыла турган ченемдик-техникалык документтердин тизмеси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lang w:val="ru-RU"/>
        </w:rPr>
      </w:pPr>
    </w:p>
    <w:p>
      <w:pPr>
        <w:rPr>
          <w:rFonts w:hint="default"/>
          <w:b w:val="0"/>
          <w:bCs w:val="0"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 </w:t>
      </w:r>
      <w:r>
        <w:rPr>
          <w:rFonts w:hint="default"/>
          <w:b w:val="0"/>
          <w:bCs w:val="0"/>
          <w:lang w:val="ru-RU"/>
        </w:rPr>
        <w:t xml:space="preserve"> баракта.</w:t>
      </w:r>
    </w:p>
    <w:p>
      <w:pPr>
        <w:rPr>
          <w:rFonts w:hint="default"/>
          <w:b w:val="0"/>
          <w:bCs w:val="0"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tabs>
          <w:tab w:val="left" w:pos="6150"/>
        </w:tabs>
        <w:rPr>
          <w:lang w:val="ky-KG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7"/>
    <w:rsid w:val="00035924"/>
    <w:rsid w:val="00082510"/>
    <w:rsid w:val="002C6C13"/>
    <w:rsid w:val="00A34EF4"/>
    <w:rsid w:val="00C22BF2"/>
    <w:rsid w:val="00E21507"/>
    <w:rsid w:val="00FA017E"/>
    <w:rsid w:val="0559576D"/>
    <w:rsid w:val="165B0326"/>
    <w:rsid w:val="17166FD0"/>
    <w:rsid w:val="2DE24A9F"/>
    <w:rsid w:val="30AF114A"/>
    <w:rsid w:val="4E4B5034"/>
    <w:rsid w:val="5AF76662"/>
    <w:rsid w:val="5B835C21"/>
    <w:rsid w:val="65E12EFA"/>
    <w:rsid w:val="6E481B02"/>
    <w:rsid w:val="76C062E5"/>
    <w:rsid w:val="7EB33F44"/>
    <w:rsid w:val="7F1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table" w:styleId="7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autoRedefine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2024-04-24T07:57:00Z</dcterms:created>
  <dc:creator>Дыйканбаева Роза Нурдиновна</dc:creator>
  <cp:lastModifiedBy>УЭРЛД ЖН</cp:lastModifiedBy>
  <cp:lastPrinted>2024-05-14T07:43:00Z</cp:lastPrinted>
  <dcterms:modified xsi:type="dcterms:W3CDTF">2024-06-07T05:53:24Z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